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附件1：</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2018年度新疆喀什地区塔什库尔干县</w:t>
      </w:r>
      <w:r>
        <w:rPr>
          <w:rFonts w:hint="eastAsia" w:ascii="方正小标宋_GBK" w:hAnsi="宋体" w:eastAsia="方正小标宋_GBK"/>
          <w:sz w:val="44"/>
          <w:szCs w:val="44"/>
          <w:lang w:eastAsia="zh-CN"/>
        </w:rPr>
        <w:t>老干部局</w:t>
      </w:r>
      <w:r>
        <w:rPr>
          <w:rFonts w:hint="eastAsia" w:ascii="方正小标宋_GBK" w:hAnsi="宋体" w:eastAsia="方正小标宋_GBK"/>
          <w:sz w:val="44"/>
          <w:szCs w:val="44"/>
        </w:rPr>
        <w:t>部门决算公开说明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w:t>
      </w:r>
      <w:r>
        <w:rPr>
          <w:rFonts w:hint="eastAsia" w:ascii="黑体" w:hAnsi="黑体" w:eastAsia="黑体"/>
          <w:bCs/>
          <w:kern w:val="0"/>
          <w:sz w:val="32"/>
          <w:szCs w:val="32"/>
          <w:lang w:val="en-US" w:eastAsia="zh-CN"/>
        </w:rPr>
        <w:t xml:space="preserve"> </w:t>
      </w:r>
      <w:r>
        <w:rPr>
          <w:rFonts w:hint="eastAsia" w:ascii="黑体" w:hAnsi="黑体" w:eastAsia="黑体"/>
          <w:bCs/>
          <w:kern w:val="0"/>
          <w:sz w:val="32"/>
          <w:szCs w:val="32"/>
        </w:rPr>
        <w:t>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5"/>
      <w:bookmarkStart w:id="1" w:name="OLE_LINK94"/>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第一部分部门单位概况</w:t>
      </w:r>
    </w:p>
    <w:p>
      <w:pPr>
        <w:numPr>
          <w:ilvl w:val="0"/>
          <w:numId w:val="1"/>
        </w:numPr>
        <w:spacing w:line="540" w:lineRule="exact"/>
        <w:ind w:firstLine="640" w:firstLineChars="200"/>
        <w:rPr>
          <w:rFonts w:hint="eastAsia" w:ascii="黑体" w:hAnsi="黑体" w:eastAsia="仿宋_GB2312" w:cs="宋体"/>
          <w:bCs/>
          <w:kern w:val="0"/>
          <w:sz w:val="32"/>
          <w:szCs w:val="32"/>
          <w:lang w:eastAsia="zh-CN"/>
        </w:rPr>
      </w:pPr>
      <w:r>
        <w:rPr>
          <w:rFonts w:hint="eastAsia" w:ascii="黑体" w:hAnsi="黑体" w:eastAsia="黑体" w:cs="宋体"/>
          <w:bCs/>
          <w:kern w:val="0"/>
          <w:sz w:val="32"/>
          <w:szCs w:val="32"/>
        </w:rPr>
        <w:t>主要职能</w:t>
      </w:r>
    </w:p>
    <w:p>
      <w:pPr>
        <w:spacing w:line="500" w:lineRule="exact"/>
        <w:rPr>
          <w:rFonts w:hint="eastAsia" w:ascii="黑体" w:hAnsi="黑体" w:eastAsia="黑体" w:cs="宋体"/>
          <w:bCs/>
          <w:kern w:val="0"/>
          <w:sz w:val="32"/>
          <w:szCs w:val="32"/>
        </w:rPr>
      </w:pPr>
      <w:r>
        <w:rPr>
          <w:rFonts w:hint="eastAsia" w:ascii="仿宋_GB2312" w:eastAsia="仿宋_GB2312"/>
          <w:sz w:val="32"/>
          <w:szCs w:val="32"/>
        </w:rPr>
        <w:t>1、负责老干部服务管理工作。</w:t>
      </w:r>
      <w:r>
        <w:rPr>
          <w:rFonts w:hint="eastAsia" w:ascii="仿宋_GB2312" w:eastAsia="仿宋_GB2312"/>
          <w:sz w:val="32"/>
          <w:szCs w:val="32"/>
        </w:rPr>
        <w:br w:type="textWrapping"/>
      </w:r>
      <w:r>
        <w:rPr>
          <w:rFonts w:hint="eastAsia" w:ascii="仿宋_GB2312" w:eastAsia="仿宋_GB2312"/>
          <w:sz w:val="32"/>
          <w:szCs w:val="32"/>
        </w:rPr>
        <w:t>2、负责老干部的思想意识，定期开展思想总结和汇报。</w:t>
      </w:r>
      <w:r>
        <w:rPr>
          <w:rFonts w:hint="eastAsia" w:ascii="仿宋_GB2312" w:eastAsia="仿宋_GB2312"/>
          <w:sz w:val="32"/>
          <w:szCs w:val="32"/>
        </w:rPr>
        <w:br w:type="textWrapping"/>
      </w:r>
      <w:r>
        <w:rPr>
          <w:rFonts w:hint="eastAsia" w:ascii="仿宋_GB2312" w:eastAsia="仿宋_GB2312"/>
          <w:sz w:val="32"/>
          <w:szCs w:val="32"/>
        </w:rPr>
        <w:t>3、开展中共塔什库尔干塔吉克自治县委员会老干部局相关工作。</w:t>
      </w:r>
      <w:r>
        <w:rPr>
          <w:rFonts w:hint="eastAsia" w:ascii="仿宋_GB2312" w:eastAsia="仿宋_GB2312"/>
          <w:sz w:val="32"/>
          <w:szCs w:val="32"/>
        </w:rPr>
        <w:br w:type="textWrapping"/>
      </w:r>
      <w:r>
        <w:rPr>
          <w:rFonts w:hint="eastAsia" w:ascii="仿宋_GB2312" w:eastAsia="仿宋_GB2312"/>
          <w:sz w:val="32"/>
          <w:szCs w:val="32"/>
        </w:rPr>
        <w:t>4、完成中共塔什库尔干塔吉克自治县委员会交办的其他任务。</w:t>
      </w:r>
    </w:p>
    <w:p>
      <w:pPr>
        <w:spacing w:line="540" w:lineRule="exact"/>
        <w:rPr>
          <w:rFonts w:ascii="黑体" w:hAnsi="黑体" w:eastAsia="黑体" w:cs="宋体"/>
          <w:bCs/>
          <w:kern w:val="0"/>
          <w:sz w:val="32"/>
          <w:szCs w:val="32"/>
        </w:rPr>
      </w:pPr>
      <w:r>
        <w:rPr>
          <w:rFonts w:hint="eastAsia" w:ascii="黑体" w:hAnsi="黑体" w:eastAsia="黑体" w:cs="宋体"/>
          <w:bCs/>
          <w:kern w:val="0"/>
          <w:sz w:val="32"/>
          <w:szCs w:val="32"/>
          <w:lang w:val="en-US" w:eastAsia="zh-CN"/>
        </w:rPr>
        <w:t xml:space="preserve">    </w:t>
      </w: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新疆喀什地区塔什库尔干县老干部局</w:t>
      </w:r>
      <w:r>
        <w:rPr>
          <w:rFonts w:hint="eastAsia" w:ascii="仿宋_GB2312" w:eastAsia="仿宋_GB2312"/>
          <w:sz w:val="32"/>
          <w:szCs w:val="32"/>
        </w:rPr>
        <w:t>部门决算包括：</w:t>
      </w:r>
      <w:r>
        <w:rPr>
          <w:rFonts w:ascii="仿宋_GB2312" w:eastAsia="仿宋_GB2312"/>
          <w:sz w:val="32"/>
          <w:szCs w:val="32"/>
        </w:rPr>
        <w:t>新疆喀什地区塔什库尔干县老干部局</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新疆喀什地区塔什库尔干县老干部局</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10"/>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auto"/>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auto"/>
                <w:position w:val="-1"/>
                <w:sz w:val="32"/>
                <w:u w:val="none"/>
              </w:rPr>
              <w:t>新疆喀什地区塔什库尔干县老干部局</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100"/>
      <w:bookmarkStart w:id="5" w:name="OLE_LINK99"/>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180.15</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，与上年相比，增加41.38万元，增长29.82%，增加的主要原因是：</w:t>
      </w:r>
      <w:r>
        <w:rPr>
          <w:rFonts w:hint="eastAsia" w:ascii="仿宋_GB2312" w:eastAsia="仿宋_GB2312"/>
          <w:color w:val="000000" w:themeColor="text1"/>
          <w:sz w:val="32"/>
          <w:szCs w:val="32"/>
        </w:rPr>
        <w:t>人员基本工资增资，艰苦边远津贴调增，高海拔</w:t>
      </w:r>
      <w:r>
        <w:rPr>
          <w:rFonts w:hint="eastAsia" w:ascii="仿宋_GB2312" w:eastAsia="仿宋_GB2312"/>
          <w:color w:val="000000" w:themeColor="text1"/>
          <w:sz w:val="32"/>
          <w:szCs w:val="32"/>
          <w:lang w:val="en-US" w:eastAsia="zh-CN"/>
        </w:rPr>
        <w:t>地区</w:t>
      </w:r>
      <w:r>
        <w:rPr>
          <w:rFonts w:hint="eastAsia" w:ascii="仿宋_GB2312" w:eastAsia="仿宋_GB2312"/>
          <w:color w:val="000000" w:themeColor="text1"/>
          <w:sz w:val="32"/>
          <w:szCs w:val="32"/>
        </w:rPr>
        <w:t>工龄工资调资及补发导致本年决算数较上年数增加；</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180.15</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，与上年相比，增加41.38万元，增长29.82%，增加的主要原因是：</w:t>
      </w:r>
      <w:r>
        <w:rPr>
          <w:rFonts w:hint="eastAsia" w:ascii="仿宋_GB2312" w:eastAsia="仿宋_GB2312"/>
          <w:color w:val="000000" w:themeColor="text1"/>
          <w:sz w:val="32"/>
          <w:szCs w:val="32"/>
        </w:rPr>
        <w:t>人员基本工资增资，艰苦边远津贴调增，高海拔</w:t>
      </w:r>
      <w:r>
        <w:rPr>
          <w:rFonts w:hint="eastAsia" w:ascii="仿宋_GB2312" w:eastAsia="仿宋_GB2312"/>
          <w:color w:val="000000" w:themeColor="text1"/>
          <w:sz w:val="32"/>
          <w:szCs w:val="32"/>
          <w:lang w:val="en-US" w:eastAsia="zh-CN"/>
        </w:rPr>
        <w:t>地区</w:t>
      </w:r>
      <w:r>
        <w:rPr>
          <w:rFonts w:hint="eastAsia" w:ascii="仿宋_GB2312" w:eastAsia="仿宋_GB2312"/>
          <w:color w:val="000000" w:themeColor="text1"/>
          <w:sz w:val="32"/>
          <w:szCs w:val="32"/>
        </w:rPr>
        <w:t>工龄工资调资及补发导致本年决算数较上年数增加；</w:t>
      </w:r>
      <w:bookmarkEnd w:id="7"/>
      <w:bookmarkStart w:id="8" w:name="OLE_LINK54"/>
      <w:r>
        <w:rPr>
          <w:rFonts w:hint="eastAsia" w:ascii="仿宋_GB2312" w:eastAsia="仿宋_GB2312"/>
          <w:color w:val="000000"/>
          <w:sz w:val="32"/>
          <w:szCs w:val="32"/>
        </w:rPr>
        <w:t>结余</w:t>
      </w:r>
      <w:r>
        <w:rPr>
          <w:rFonts w:hint="eastAsia" w:ascii="仿宋_GB2312" w:eastAsia="仿宋_GB2312"/>
          <w:sz w:val="32"/>
          <w:szCs w:val="32"/>
        </w:rPr>
        <w:t>0</w:t>
      </w:r>
      <w:r>
        <w:rPr>
          <w:rFonts w:hint="eastAsia" w:ascii="仿宋_GB2312" w:eastAsia="仿宋_GB2312"/>
          <w:color w:val="000000"/>
          <w:sz w:val="32"/>
          <w:szCs w:val="32"/>
        </w:rPr>
        <w:t>万元</w:t>
      </w:r>
      <w:r>
        <w:rPr>
          <w:rFonts w:hint="eastAsia" w:ascii="仿宋_GB2312" w:eastAsia="仿宋_GB2312"/>
          <w:sz w:val="32"/>
          <w:szCs w:val="32"/>
        </w:rPr>
        <w:t>，与上年相比</w:t>
      </w:r>
      <w:r>
        <w:rPr>
          <w:rFonts w:hint="eastAsia" w:ascii="仿宋_GB2312" w:eastAsia="仿宋_GB2312"/>
          <w:sz w:val="32"/>
          <w:szCs w:val="32"/>
          <w:lang w:val="en-US" w:eastAsia="zh-CN"/>
        </w:rPr>
        <w:t>,</w:t>
      </w:r>
      <w:r>
        <w:rPr>
          <w:rFonts w:hint="eastAsia" w:ascii="仿宋_GB2312" w:eastAsia="仿宋_GB2312"/>
          <w:sz w:val="32"/>
          <w:szCs w:val="32"/>
        </w:rPr>
        <w:t>增加0万元，增长0%，</w:t>
      </w:r>
      <w:r>
        <w:rPr>
          <w:rFonts w:hint="eastAsia" w:ascii="仿宋_GB2312" w:eastAsia="仿宋_GB2312"/>
          <w:sz w:val="32"/>
          <w:szCs w:val="32"/>
          <w:lang w:eastAsia="zh-CN"/>
        </w:rPr>
        <w:t>增减变化的</w:t>
      </w:r>
      <w:r>
        <w:rPr>
          <w:rFonts w:hint="eastAsia" w:ascii="仿宋_GB2312" w:eastAsia="仿宋_GB2312"/>
          <w:sz w:val="32"/>
          <w:szCs w:val="32"/>
        </w:rPr>
        <w:t>主要原因是：</w:t>
      </w:r>
      <w:r>
        <w:rPr>
          <w:rFonts w:hint="eastAsia" w:ascii="仿宋_GB2312" w:eastAsia="仿宋_GB2312"/>
          <w:color w:val="000000"/>
          <w:sz w:val="32"/>
          <w:szCs w:val="32"/>
          <w:lang w:val="en-US" w:eastAsia="zh-CN"/>
        </w:rPr>
        <w:t>本年与上年均无结余资金</w:t>
      </w:r>
      <w:r>
        <w:rPr>
          <w:rFonts w:ascii="仿宋_GB2312" w:eastAsia="仿宋_GB2312"/>
          <w:color w:val="000000"/>
          <w:sz w:val="32"/>
          <w:szCs w:val="32"/>
        </w:rPr>
        <w:t>。</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jc w:val="center"/>
        <w:rPr>
          <w:rFonts w:hint="eastAsia" w:ascii="黑体" w:hAnsi="黑体" w:eastAsia="黑体"/>
          <w:sz w:val="32"/>
          <w:szCs w:val="32"/>
        </w:rPr>
      </w:pPr>
      <w:r>
        <w:rPr>
          <w:rFonts w:hint="eastAsia" w:ascii="仿宋_GB2312" w:eastAsia="仿宋_GB2312"/>
          <w:color w:val="000000" w:themeColor="text1"/>
          <w:sz w:val="32"/>
          <w:szCs w:val="32"/>
          <w:lang w:val="en-US" w:eastAsia="zh-CN"/>
        </w:rPr>
        <w:t xml:space="preserve">     </w:t>
      </w:r>
      <w:r>
        <w:rPr>
          <w:rFonts w:hint="eastAsia" w:ascii="仿宋_GB2312" w:eastAsia="仿宋_GB2312"/>
          <w:color w:val="000000" w:themeColor="text1"/>
          <w:sz w:val="32"/>
          <w:szCs w:val="32"/>
        </w:rPr>
        <w:t>本年收入合计</w:t>
      </w:r>
      <w:r>
        <w:rPr>
          <w:rFonts w:hint="eastAsia" w:ascii="仿宋_GB2312" w:eastAsia="仿宋_GB2312"/>
          <w:sz w:val="32"/>
          <w:szCs w:val="32"/>
        </w:rPr>
        <w:t>180.15</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180.15</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p>
    <w:p>
      <w:pPr>
        <w:spacing w:line="540" w:lineRule="exact"/>
        <w:rPr>
          <w:rFonts w:ascii="仿宋_GB2312" w:eastAsia="仿宋_GB2312"/>
          <w:color w:val="000000" w:themeColor="text1"/>
          <w:sz w:val="32"/>
          <w:szCs w:val="32"/>
        </w:rPr>
      </w:pP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况：本年收入年初预算数181.16万元</w:t>
      </w:r>
      <w:r>
        <w:rPr>
          <w:rFonts w:hint="eastAsia" w:ascii="仿宋_GB2312" w:eastAsia="仿宋_GB2312"/>
          <w:sz w:val="32"/>
          <w:szCs w:val="32"/>
        </w:rPr>
        <w:t>，决算数180.15万元</w:t>
      </w:r>
      <w:r>
        <w:rPr>
          <w:rFonts w:ascii="仿宋_GB2312" w:eastAsia="仿宋_GB2312"/>
          <w:sz w:val="32"/>
          <w:szCs w:val="32"/>
        </w:rPr>
        <w:t>，预决算差异率-0.56%，差异主要原因是本年在实际预算执行过程中慰问老干部经费项目未实施导致决算数较预算数减少。</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lang w:val="en-US" w:eastAsia="zh-CN"/>
        </w:rPr>
        <w:t xml:space="preserve"> </w:t>
      </w:r>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180.15</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180.15</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sz w:val="32"/>
          <w:szCs w:val="32"/>
          <w:lang w:eastAsia="zh-CN"/>
        </w:rPr>
        <w:t>。</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与年初预算数相比情况：本年支出年初预算数181.16万元，</w:t>
      </w:r>
      <w:r>
        <w:rPr>
          <w:rFonts w:hint="eastAsia" w:ascii="仿宋_GB2312" w:eastAsia="仿宋_GB2312"/>
          <w:sz w:val="32"/>
          <w:szCs w:val="32"/>
        </w:rPr>
        <w:t>决算数180.15万元</w:t>
      </w:r>
      <w:r>
        <w:rPr>
          <w:rFonts w:ascii="仿宋_GB2312" w:eastAsia="仿宋_GB2312"/>
          <w:sz w:val="32"/>
          <w:szCs w:val="32"/>
        </w:rPr>
        <w:t>，预决算差异率-0.56%，差异主要原因是本年在实际预算执行过程中慰问老干部经费项目未实施导致决算数较预算数减少。</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8"/>
      <w:bookmarkStart w:id="24" w:name="OLE_LINK57"/>
      <w:r>
        <w:rPr>
          <w:rFonts w:hint="eastAsia" w:ascii="仿宋_GB2312" w:eastAsia="仿宋_GB2312"/>
          <w:color w:val="000000" w:themeColor="text1"/>
          <w:sz w:val="32"/>
          <w:szCs w:val="32"/>
          <w:lang w:val="en-US" w:eastAsia="zh-CN"/>
        </w:rPr>
        <w:t xml:space="preserve"> </w:t>
      </w:r>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180.15</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，与上年相比，增加41.38万元，增长29.82%，增加的主要原因是：人员基本工资增资，艰苦边远津贴调增，高海拔</w:t>
      </w:r>
      <w:r>
        <w:rPr>
          <w:rFonts w:hint="eastAsia" w:ascii="仿宋_GB2312" w:eastAsia="仿宋_GB2312"/>
          <w:sz w:val="32"/>
          <w:szCs w:val="32"/>
          <w:lang w:val="en-US" w:eastAsia="zh-CN"/>
        </w:rPr>
        <w:t>地区</w:t>
      </w:r>
      <w:r>
        <w:rPr>
          <w:rFonts w:hint="eastAsia" w:ascii="仿宋_GB2312" w:eastAsia="仿宋_GB2312"/>
          <w:sz w:val="32"/>
          <w:szCs w:val="32"/>
        </w:rPr>
        <w:t>工龄工资调资及补发导致本年决算数较上年数增加。</w:t>
      </w:r>
      <w:bookmarkEnd w:id="23"/>
      <w:bookmarkEnd w:id="24"/>
      <w:bookmarkStart w:id="26" w:name="OLE_LINK14"/>
      <w:bookmarkStart w:id="27" w:name="OLE_LINK60"/>
      <w:bookmarkStart w:id="28" w:name="OLE_LINK59"/>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180.15</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，与上年相比，增加41.38万元，增长29.82%，增加的主要原因是：</w:t>
      </w:r>
      <w:r>
        <w:rPr>
          <w:rFonts w:ascii="仿宋_GB2312" w:eastAsia="仿宋_GB2312"/>
          <w:sz w:val="32"/>
          <w:szCs w:val="32"/>
        </w:rPr>
        <w:t>人员基本工资增资，艰苦边远津贴调增，高海拔</w:t>
      </w:r>
      <w:r>
        <w:rPr>
          <w:rFonts w:hint="eastAsia" w:ascii="仿宋_GB2312" w:eastAsia="仿宋_GB2312"/>
          <w:sz w:val="32"/>
          <w:szCs w:val="32"/>
          <w:lang w:val="en-US" w:eastAsia="zh-CN"/>
        </w:rPr>
        <w:t>地区</w:t>
      </w:r>
      <w:r>
        <w:rPr>
          <w:rFonts w:ascii="仿宋_GB2312" w:eastAsia="仿宋_GB2312"/>
          <w:sz w:val="32"/>
          <w:szCs w:val="32"/>
        </w:rPr>
        <w:t>工龄工资调资及补发导致本年决算数较上年数增加。</w:t>
      </w:r>
      <w:bookmarkEnd w:id="27"/>
      <w:bookmarkEnd w:id="28"/>
      <w:r>
        <w:rPr>
          <w:rFonts w:hint="eastAsia" w:ascii="仿宋_GB2312" w:eastAsia="仿宋_GB2312"/>
          <w:color w:val="000000" w:themeColor="text1"/>
          <w:sz w:val="32"/>
          <w:szCs w:val="32"/>
        </w:rPr>
        <w:t>其中：</w:t>
      </w:r>
      <w:bookmarkStart w:id="29" w:name="OLE_LINK15"/>
      <w:r>
        <w:rPr>
          <w:rFonts w:hint="eastAsia" w:ascii="仿宋_GB2312" w:eastAsia="仿宋_GB2312"/>
          <w:color w:val="000000" w:themeColor="text1"/>
          <w:sz w:val="32"/>
          <w:szCs w:val="32"/>
        </w:rPr>
        <w:t>基本支出</w:t>
      </w:r>
      <w:bookmarkEnd w:id="29"/>
      <w:r>
        <w:rPr>
          <w:rFonts w:hint="eastAsia" w:ascii="仿宋_GB2312" w:eastAsia="仿宋_GB2312"/>
          <w:sz w:val="32"/>
          <w:szCs w:val="32"/>
        </w:rPr>
        <w:t>180.15</w:t>
      </w:r>
      <w:r>
        <w:rPr>
          <w:rFonts w:hint="eastAsia" w:ascii="仿宋_GB2312" w:eastAsia="仿宋_GB2312"/>
          <w:color w:val="000000" w:themeColor="text1"/>
          <w:sz w:val="32"/>
          <w:szCs w:val="32"/>
        </w:rPr>
        <w:t>万元，项目支出</w:t>
      </w:r>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30" w:name="OLE_LINK16"/>
      <w:r>
        <w:rPr>
          <w:rFonts w:hint="eastAsia" w:ascii="仿宋_GB2312" w:eastAsia="仿宋_GB2312"/>
          <w:color w:val="000000"/>
          <w:sz w:val="32"/>
          <w:szCs w:val="32"/>
        </w:rPr>
        <w:t>财政拨款结转结余</w:t>
      </w:r>
      <w:bookmarkEnd w:id="30"/>
      <w:r>
        <w:rPr>
          <w:rFonts w:hint="eastAsia" w:ascii="仿宋_GB2312" w:eastAsia="仿宋_GB2312"/>
          <w:sz w:val="32"/>
          <w:szCs w:val="32"/>
        </w:rPr>
        <w:t>0</w:t>
      </w:r>
      <w:r>
        <w:rPr>
          <w:rFonts w:hint="eastAsia" w:ascii="仿宋_GB2312" w:eastAsia="仿宋_GB2312"/>
          <w:color w:val="000000"/>
          <w:sz w:val="32"/>
          <w:szCs w:val="32"/>
        </w:rPr>
        <w:t>万元</w:t>
      </w:r>
      <w:r>
        <w:rPr>
          <w:rFonts w:hint="eastAsia" w:ascii="仿宋_GB2312" w:eastAsia="仿宋_GB2312"/>
          <w:sz w:val="32"/>
          <w:szCs w:val="32"/>
        </w:rPr>
        <w:t>，与上年相比</w:t>
      </w:r>
      <w:r>
        <w:rPr>
          <w:rFonts w:hint="eastAsia" w:ascii="仿宋_GB2312" w:eastAsia="仿宋_GB2312"/>
          <w:sz w:val="32"/>
          <w:szCs w:val="32"/>
          <w:lang w:val="en-US" w:eastAsia="zh-CN"/>
        </w:rPr>
        <w:t>,增加0万元，增长0%，增加的主要原因是：本年与上年均无结转结余资金。</w:t>
      </w:r>
    </w:p>
    <w:p>
      <w:pPr>
        <w:spacing w:line="540" w:lineRule="exact"/>
        <w:ind w:firstLine="640" w:firstLineChars="200"/>
        <w:rPr>
          <w:rFonts w:ascii="仿宋_GB2312" w:eastAsia="仿宋_GB2312"/>
          <w:color w:val="000000" w:themeColor="text1"/>
          <w:sz w:val="32"/>
          <w:szCs w:val="32"/>
        </w:rPr>
      </w:pPr>
      <w:bookmarkStart w:id="31"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181.16</w:t>
      </w:r>
      <w:r>
        <w:rPr>
          <w:rFonts w:hint="eastAsia" w:ascii="仿宋_GB2312" w:eastAsia="仿宋_GB2312"/>
          <w:color w:val="000000" w:themeColor="text1"/>
          <w:sz w:val="32"/>
          <w:szCs w:val="32"/>
        </w:rPr>
        <w:t>万元，决算数</w:t>
      </w:r>
      <w:r>
        <w:rPr>
          <w:rFonts w:hint="eastAsia" w:ascii="仿宋_GB2312" w:eastAsia="仿宋_GB2312"/>
          <w:sz w:val="32"/>
          <w:szCs w:val="32"/>
        </w:rPr>
        <w:t>180.15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，预决算差异率-0.56%，差异主要原因是本年在实际预算执行过程中慰问老干部经费项目未实施导致决算数较预算数减少。</w:t>
      </w:r>
      <w:bookmarkEnd w:id="31"/>
      <w:bookmarkStart w:id="32"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181.16</w:t>
      </w:r>
      <w:r>
        <w:rPr>
          <w:rFonts w:hint="eastAsia" w:ascii="仿宋_GB2312" w:eastAsia="仿宋_GB2312"/>
          <w:color w:val="000000" w:themeColor="text1"/>
          <w:sz w:val="32"/>
          <w:szCs w:val="32"/>
        </w:rPr>
        <w:t>万元，决算数</w:t>
      </w:r>
      <w:r>
        <w:rPr>
          <w:rFonts w:hint="eastAsia" w:ascii="仿宋_GB2312" w:eastAsia="仿宋_GB2312"/>
          <w:sz w:val="32"/>
          <w:szCs w:val="32"/>
        </w:rPr>
        <w:t>180.15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，预决算差异率-0.56%，差异主要原因是本年在实际预算执行过程中慰问老干部经费项目未实施导致决算数较预算数减少。</w:t>
      </w:r>
      <w:bookmarkEnd w:id="32"/>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3" w:name="OLE_LINK64"/>
      <w:r>
        <w:rPr>
          <w:rFonts w:hint="eastAsia" w:ascii="仿宋_GB2312" w:eastAsia="仿宋_GB2312"/>
          <w:color w:val="000000" w:themeColor="text1"/>
          <w:sz w:val="32"/>
          <w:szCs w:val="32"/>
        </w:rPr>
        <w:t>2018年度</w:t>
      </w:r>
      <w:bookmarkStart w:id="34" w:name="OLE_LINK17"/>
      <w:r>
        <w:rPr>
          <w:rFonts w:hint="eastAsia" w:ascii="仿宋_GB2312" w:eastAsia="仿宋_GB2312"/>
          <w:color w:val="000000" w:themeColor="text1"/>
          <w:sz w:val="32"/>
          <w:szCs w:val="32"/>
        </w:rPr>
        <w:t>一般公共预算财政拨款收入</w:t>
      </w:r>
      <w:bookmarkEnd w:id="34"/>
      <w:r>
        <w:rPr>
          <w:rFonts w:ascii="仿宋_GB2312" w:eastAsia="仿宋_GB2312"/>
          <w:color w:val="000000" w:themeColor="text1"/>
          <w:sz w:val="32"/>
          <w:szCs w:val="32"/>
        </w:rPr>
        <w:t>180.15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，与上年相比，增加41.38万元，增长29.82%，增加的主要原因是：人员基本工资增资，艰苦边远津贴调增，高海拔</w:t>
      </w:r>
      <w:r>
        <w:rPr>
          <w:rFonts w:hint="eastAsia" w:ascii="仿宋_GB2312" w:eastAsia="仿宋_GB2312"/>
          <w:color w:val="000000" w:themeColor="text1"/>
          <w:sz w:val="32"/>
          <w:szCs w:val="32"/>
          <w:lang w:val="en-US" w:eastAsia="zh-CN"/>
        </w:rPr>
        <w:t>地区</w:t>
      </w:r>
      <w:r>
        <w:rPr>
          <w:rFonts w:ascii="仿宋_GB2312" w:eastAsia="仿宋_GB2312"/>
          <w:color w:val="000000" w:themeColor="text1"/>
          <w:sz w:val="32"/>
          <w:szCs w:val="32"/>
        </w:rPr>
        <w:t>工龄工资调资及补发导致本年决算数较上年数增加。</w:t>
      </w:r>
      <w:bookmarkEnd w:id="33"/>
      <w:bookmarkStart w:id="35" w:name="OLE_LINK18"/>
      <w:bookmarkStart w:id="36"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180.15</w:t>
      </w:r>
      <w:r>
        <w:rPr>
          <w:rFonts w:hint="eastAsia" w:ascii="仿宋_GB2312" w:eastAsia="仿宋_GB2312"/>
          <w:color w:val="000000" w:themeColor="text1"/>
          <w:sz w:val="32"/>
          <w:szCs w:val="32"/>
        </w:rPr>
        <w:t>万元</w:t>
      </w:r>
      <w:bookmarkEnd w:id="35"/>
      <w:r>
        <w:rPr>
          <w:rFonts w:hint="eastAsia" w:ascii="仿宋_GB2312" w:eastAsia="仿宋_GB2312"/>
          <w:sz w:val="32"/>
          <w:szCs w:val="32"/>
        </w:rPr>
        <w:t>，与上年相比，增加41.38万元，增长29.82%，增加的主要原因是：人员基本工资增资，艰苦边远津贴调增，高海拔</w:t>
      </w:r>
      <w:r>
        <w:rPr>
          <w:rFonts w:hint="eastAsia" w:ascii="仿宋_GB2312" w:eastAsia="仿宋_GB2312"/>
          <w:sz w:val="32"/>
          <w:szCs w:val="32"/>
          <w:lang w:val="en-US" w:eastAsia="zh-CN"/>
        </w:rPr>
        <w:t>地区</w:t>
      </w:r>
      <w:bookmarkStart w:id="74" w:name="_GoBack"/>
      <w:bookmarkEnd w:id="74"/>
      <w:r>
        <w:rPr>
          <w:rFonts w:hint="eastAsia" w:ascii="仿宋_GB2312" w:eastAsia="仿宋_GB2312"/>
          <w:sz w:val="32"/>
          <w:szCs w:val="32"/>
        </w:rPr>
        <w:t>工龄工资调资及补发导致本年决算数较上年数增加。</w:t>
      </w:r>
      <w:bookmarkEnd w:id="36"/>
      <w:r>
        <w:rPr>
          <w:rFonts w:hint="eastAsia" w:ascii="仿宋_GB2312" w:eastAsia="仿宋_GB2312"/>
          <w:color w:val="000000" w:themeColor="text1"/>
          <w:sz w:val="32"/>
          <w:szCs w:val="32"/>
        </w:rPr>
        <w:t>其中：</w:t>
      </w:r>
      <w:bookmarkStart w:id="37" w:name="OLE_LINK19"/>
      <w:r>
        <w:rPr>
          <w:rFonts w:hint="eastAsia" w:ascii="仿宋_GB2312" w:eastAsia="仿宋_GB2312"/>
          <w:color w:val="000000" w:themeColor="text1"/>
          <w:sz w:val="32"/>
          <w:szCs w:val="32"/>
        </w:rPr>
        <w:t>按功能分类科目（按类级科目公开）</w:t>
      </w:r>
      <w:bookmarkEnd w:id="37"/>
      <w:r>
        <w:rPr>
          <w:rFonts w:hint="eastAsia" w:ascii="仿宋_GB2312" w:eastAsia="仿宋_GB2312"/>
          <w:color w:val="000000" w:themeColor="text1"/>
          <w:sz w:val="32"/>
          <w:szCs w:val="32"/>
        </w:rPr>
        <w:t>，</w:t>
      </w:r>
      <w:r>
        <w:rPr>
          <w:rFonts w:hint="eastAsia" w:ascii="仿宋_GB2312" w:eastAsia="仿宋_GB2312"/>
          <w:sz w:val="32"/>
          <w:szCs w:val="32"/>
        </w:rPr>
        <w:t>住房保障支出10.49万元,一般公共服务支出154.23万元,社会保障和就业支出15.42万元。</w:t>
      </w:r>
      <w:bookmarkStart w:id="38" w:name="OLE_LINK20"/>
      <w:bookmarkStart w:id="39" w:name="OLE_LINK21"/>
      <w:r>
        <w:rPr>
          <w:rFonts w:hint="eastAsia" w:ascii="仿宋_GB2312" w:eastAsia="仿宋_GB2312"/>
          <w:color w:val="000000" w:themeColor="text1"/>
          <w:sz w:val="32"/>
          <w:szCs w:val="32"/>
        </w:rPr>
        <w:t>按经济分类科目</w:t>
      </w:r>
      <w:bookmarkEnd w:id="38"/>
      <w:r>
        <w:rPr>
          <w:rFonts w:hint="eastAsia" w:ascii="仿宋_GB2312" w:eastAsia="仿宋_GB2312"/>
          <w:color w:val="000000" w:themeColor="text1"/>
          <w:sz w:val="32"/>
          <w:szCs w:val="32"/>
        </w:rPr>
        <w:t>（按类级科目公开）</w:t>
      </w:r>
      <w:bookmarkEnd w:id="39"/>
      <w:r>
        <w:rPr>
          <w:rFonts w:hint="eastAsia" w:ascii="仿宋_GB2312" w:eastAsia="仿宋_GB2312"/>
          <w:color w:val="000000" w:themeColor="text1"/>
          <w:sz w:val="32"/>
          <w:szCs w:val="32"/>
        </w:rPr>
        <w:t>，</w:t>
      </w:r>
      <w:r>
        <w:rPr>
          <w:rFonts w:hint="eastAsia" w:ascii="仿宋_GB2312" w:eastAsia="仿宋_GB2312"/>
          <w:sz w:val="32"/>
          <w:szCs w:val="32"/>
        </w:rPr>
        <w:t>工资福利支出155.71万元,商品和服务支出14.26万元,对个人和家庭的补助10.18万元。</w:t>
      </w:r>
    </w:p>
    <w:p>
      <w:pPr>
        <w:spacing w:line="540" w:lineRule="exact"/>
        <w:jc w:val="both"/>
        <w:rPr>
          <w:rFonts w:hint="eastAsia" w:ascii="黑体" w:hAnsi="黑体" w:eastAsia="黑体"/>
          <w:sz w:val="32"/>
          <w:szCs w:val="32"/>
        </w:rPr>
      </w:pPr>
      <w:bookmarkStart w:id="40" w:name="OLE_LINK67"/>
      <w:bookmarkStart w:id="41" w:name="OLE_LINK66"/>
      <w:r>
        <w:rPr>
          <w:rFonts w:hint="eastAsia" w:ascii="仿宋_GB2312" w:eastAsia="仿宋_GB2312"/>
          <w:color w:val="000000" w:themeColor="text1"/>
          <w:sz w:val="32"/>
          <w:szCs w:val="32"/>
          <w:lang w:val="en-US" w:eastAsia="zh-CN"/>
        </w:rPr>
        <w:t xml:space="preserve">    </w:t>
      </w:r>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181.16</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180.15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，预决算差异率-0.56%，差异主要原因是本年在实际预算执行过程中慰问老干部经费项目未实施导致决算数较预算数减少。</w:t>
      </w:r>
      <w:bookmarkEnd w:id="40"/>
      <w:bookmarkEnd w:id="41"/>
      <w:r>
        <w:rPr>
          <w:rFonts w:hint="eastAsia" w:ascii="仿宋_GB2312" w:eastAsia="仿宋_GB2312"/>
          <w:color w:val="000000" w:themeColor="text1"/>
          <w:sz w:val="32"/>
          <w:szCs w:val="32"/>
        </w:rPr>
        <w:t>一般公共预算财政拨款支出年初预算数</w:t>
      </w:r>
    </w:p>
    <w:p>
      <w:pPr>
        <w:spacing w:line="540" w:lineRule="exact"/>
        <w:rPr>
          <w:rFonts w:ascii="仿宋_GB2312" w:eastAsia="仿宋_GB2312"/>
          <w:color w:val="000000" w:themeColor="text1"/>
          <w:sz w:val="32"/>
          <w:szCs w:val="32"/>
        </w:rPr>
      </w:pPr>
      <w:r>
        <w:rPr>
          <w:rFonts w:ascii="仿宋_GB2312" w:eastAsia="仿宋_GB2312"/>
          <w:color w:val="000000" w:themeColor="text1"/>
          <w:sz w:val="32"/>
          <w:szCs w:val="32"/>
        </w:rPr>
        <w:t>181.16</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180.15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，预决算差异率-0.56%，差异主要原因是本年在实际预算执行过程中慰问老干部经费项目未实施导致决算数较预算数减少。</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2" w:name="OLE_LINK69"/>
      <w:r>
        <w:rPr>
          <w:rFonts w:hint="eastAsia" w:ascii="仿宋_GB2312" w:eastAsia="仿宋_GB2312"/>
          <w:color w:val="000000" w:themeColor="text1"/>
          <w:sz w:val="32"/>
          <w:szCs w:val="32"/>
        </w:rPr>
        <w:t>2018年度</w:t>
      </w:r>
      <w:bookmarkStart w:id="43" w:name="OLE_LINK22"/>
      <w:r>
        <w:rPr>
          <w:rFonts w:hint="eastAsia" w:ascii="仿宋_GB2312" w:eastAsia="仿宋_GB2312"/>
          <w:color w:val="000000" w:themeColor="text1"/>
          <w:sz w:val="32"/>
          <w:szCs w:val="32"/>
        </w:rPr>
        <w:t>政府性基金预算财政拨款收入</w:t>
      </w:r>
      <w:bookmarkEnd w:id="43"/>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w:t>
      </w:r>
      <w:bookmarkEnd w:id="42"/>
      <w:bookmarkStart w:id="44" w:name="OLE_LINK23"/>
      <w:bookmarkStart w:id="45" w:name="OLE_LINK70"/>
      <w:r>
        <w:rPr>
          <w:rFonts w:hint="eastAsia" w:ascii="仿宋_GB2312" w:eastAsia="仿宋_GB2312"/>
          <w:color w:val="000000" w:themeColor="text1"/>
          <w:sz w:val="32"/>
          <w:szCs w:val="32"/>
        </w:rPr>
        <w:t>政府性基金预算支出</w:t>
      </w:r>
      <w:bookmarkEnd w:id="44"/>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w:t>
      </w:r>
      <w:bookmarkEnd w:id="45"/>
      <w:r>
        <w:rPr>
          <w:rFonts w:hint="eastAsia" w:ascii="仿宋_GB2312" w:eastAsia="仿宋_GB2312"/>
          <w:color w:val="000000" w:themeColor="text1"/>
          <w:sz w:val="32"/>
          <w:szCs w:val="32"/>
        </w:rPr>
        <w:t>其中：</w:t>
      </w:r>
      <w:bookmarkStart w:id="46" w:name="OLE_LINK24"/>
      <w:r>
        <w:rPr>
          <w:rFonts w:hint="eastAsia" w:ascii="仿宋_GB2312" w:eastAsia="仿宋_GB2312"/>
          <w:color w:val="000000" w:themeColor="text1"/>
          <w:sz w:val="32"/>
          <w:szCs w:val="32"/>
        </w:rPr>
        <w:t>按功能分类科目（按类级科目公开）</w:t>
      </w:r>
      <w:bookmarkEnd w:id="46"/>
      <w:r>
        <w:rPr>
          <w:rFonts w:hint="eastAsia" w:ascii="仿宋_GB2312" w:eastAsia="仿宋_GB2312"/>
          <w:color w:val="000000" w:themeColor="text1"/>
          <w:sz w:val="32"/>
          <w:szCs w:val="32"/>
        </w:rPr>
        <w:t>，无。按经济分类科目（按类级科目公开），无。</w:t>
      </w:r>
    </w:p>
    <w:p>
      <w:pPr>
        <w:spacing w:line="540" w:lineRule="exact"/>
        <w:ind w:firstLine="640" w:firstLineChars="200"/>
        <w:rPr>
          <w:rFonts w:ascii="仿宋_GB2312" w:eastAsia="仿宋_GB2312"/>
          <w:color w:val="000000" w:themeColor="text1"/>
          <w:sz w:val="32"/>
          <w:szCs w:val="32"/>
        </w:rPr>
      </w:pPr>
      <w:bookmarkStart w:id="47" w:name="OLE_LINK71"/>
      <w:bookmarkStart w:id="48" w:name="OLE_LINK72"/>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，预决算差异率0%，差异主要原因是无差异。</w:t>
      </w:r>
      <w:bookmarkEnd w:id="47"/>
      <w:bookmarkEnd w:id="48"/>
      <w:bookmarkStart w:id="49"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，预决算差异率0%，差异主要原因是无差异。</w:t>
      </w:r>
      <w:bookmarkEnd w:id="49"/>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年末结转结余0万元</w:t>
      </w:r>
      <w:r>
        <w:rPr>
          <w:rFonts w:hint="eastAsia" w:ascii="仿宋_GB2312" w:eastAsia="仿宋_GB2312"/>
          <w:color w:val="000000"/>
          <w:sz w:val="32"/>
          <w:szCs w:val="32"/>
          <w:lang w:eastAsia="zh-CN"/>
        </w:rPr>
        <w:t>。</w:t>
      </w:r>
      <w:r>
        <w:rPr>
          <w:rFonts w:hint="eastAsia" w:ascii="仿宋_GB2312" w:eastAsia="仿宋_GB2312"/>
          <w:color w:val="000000"/>
          <w:sz w:val="32"/>
          <w:szCs w:val="32"/>
        </w:rPr>
        <w:t>与上年相比</w:t>
      </w:r>
      <w:r>
        <w:rPr>
          <w:rFonts w:hint="eastAsia" w:ascii="仿宋_GB2312" w:eastAsia="仿宋_GB2312"/>
          <w:color w:val="000000"/>
          <w:sz w:val="32"/>
          <w:szCs w:val="32"/>
          <w:lang w:eastAsia="zh-CN"/>
        </w:rPr>
        <w:t>，</w:t>
      </w:r>
      <w:r>
        <w:rPr>
          <w:rFonts w:hint="eastAsia" w:ascii="仿宋_GB2312" w:eastAsia="仿宋_GB2312"/>
          <w:color w:val="000000"/>
          <w:sz w:val="32"/>
          <w:szCs w:val="32"/>
        </w:rPr>
        <w:t>增加0万元，增长0%。</w:t>
      </w:r>
    </w:p>
    <w:p>
      <w:pPr>
        <w:spacing w:line="540" w:lineRule="exact"/>
        <w:ind w:firstLine="640" w:firstLineChars="200"/>
        <w:rPr>
          <w:rFonts w:ascii="仿宋_GB2312" w:eastAsia="仿宋_GB2312"/>
          <w:sz w:val="32"/>
          <w:szCs w:val="32"/>
        </w:rPr>
      </w:pPr>
      <w:r>
        <w:rPr>
          <w:rFonts w:hint="eastAsia" w:ascii="仿宋_GB2312" w:eastAsia="仿宋_GB2312"/>
          <w:color w:val="000000"/>
          <w:sz w:val="32"/>
          <w:szCs w:val="32"/>
        </w:rPr>
        <w:t>其中财政拨款结转结余0万元</w:t>
      </w:r>
      <w:r>
        <w:rPr>
          <w:rFonts w:hint="eastAsia" w:ascii="仿宋_GB2312" w:eastAsia="仿宋_GB2312"/>
          <w:color w:val="000000"/>
          <w:sz w:val="32"/>
          <w:szCs w:val="32"/>
          <w:lang w:eastAsia="zh-CN"/>
        </w:rPr>
        <w:t>。</w:t>
      </w:r>
      <w:r>
        <w:rPr>
          <w:rFonts w:hint="eastAsia" w:ascii="仿宋_GB2312" w:eastAsia="仿宋_GB2312"/>
          <w:color w:val="000000"/>
          <w:sz w:val="32"/>
          <w:szCs w:val="32"/>
        </w:rPr>
        <w:t>与上年相比</w:t>
      </w:r>
      <w:r>
        <w:rPr>
          <w:rFonts w:hint="eastAsia" w:ascii="仿宋_GB2312" w:eastAsia="仿宋_GB2312"/>
          <w:color w:val="000000"/>
          <w:sz w:val="32"/>
          <w:szCs w:val="32"/>
          <w:lang w:val="en-US" w:eastAsia="zh-CN"/>
        </w:rPr>
        <w:t>,</w:t>
      </w:r>
      <w:r>
        <w:rPr>
          <w:rFonts w:hint="eastAsia" w:ascii="仿宋_GB2312" w:eastAsia="仿宋_GB2312"/>
          <w:color w:val="000000"/>
          <w:sz w:val="32"/>
          <w:szCs w:val="32"/>
        </w:rPr>
        <w:t>增加0万元，增长0%。</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2018年度一般公共预算“三公”经费支出决算</w:t>
      </w:r>
      <w:r>
        <w:rPr>
          <w:rFonts w:hint="eastAsia" w:ascii="仿宋_GB2312" w:eastAsia="仿宋_GB2312"/>
          <w:sz w:val="32"/>
          <w:szCs w:val="32"/>
        </w:rPr>
        <w:t>0</w:t>
      </w:r>
      <w:r>
        <w:rPr>
          <w:rFonts w:hint="eastAsia" w:ascii="仿宋_GB2312" w:eastAsia="仿宋_GB2312"/>
          <w:color w:val="000000"/>
          <w:sz w:val="32"/>
          <w:szCs w:val="32"/>
        </w:rPr>
        <w:t>万元</w:t>
      </w:r>
      <w:r>
        <w:rPr>
          <w:rFonts w:hint="eastAsia" w:ascii="仿宋_GB2312" w:eastAsia="仿宋_GB2312"/>
          <w:sz w:val="32"/>
          <w:szCs w:val="32"/>
        </w:rPr>
        <w:t>，与上年相比，</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w:t>
      </w:r>
      <w:r>
        <w:rPr>
          <w:rFonts w:hint="eastAsia" w:ascii="仿宋_GB2312" w:eastAsia="仿宋_GB2312"/>
          <w:sz w:val="32"/>
          <w:szCs w:val="32"/>
          <w:highlight w:val="none"/>
          <w:lang w:val="en-US" w:eastAsia="zh-CN"/>
        </w:rPr>
        <w:t>本单位无</w:t>
      </w:r>
      <w:r>
        <w:rPr>
          <w:rFonts w:hint="eastAsia" w:ascii="仿宋_GB2312" w:eastAsia="仿宋_GB2312"/>
          <w:color w:val="000000"/>
          <w:sz w:val="32"/>
          <w:szCs w:val="32"/>
        </w:rPr>
        <w:t>“三公”经费支出</w:t>
      </w:r>
      <w:r>
        <w:rPr>
          <w:rFonts w:hint="eastAsia" w:ascii="仿宋_GB2312" w:eastAsia="仿宋_GB2312"/>
          <w:sz w:val="32"/>
          <w:szCs w:val="32"/>
        </w:rPr>
        <w:t>。</w:t>
      </w:r>
      <w:r>
        <w:rPr>
          <w:rFonts w:hint="eastAsia" w:ascii="仿宋_GB2312" w:eastAsia="仿宋_GB2312"/>
          <w:color w:val="000000"/>
          <w:sz w:val="32"/>
          <w:szCs w:val="32"/>
        </w:rPr>
        <w:t>其中，因公出国（境）费支出</w:t>
      </w:r>
      <w:r>
        <w:rPr>
          <w:rFonts w:hint="eastAsia" w:ascii="仿宋_GB2312" w:eastAsia="仿宋_GB2312"/>
          <w:sz w:val="32"/>
          <w:szCs w:val="32"/>
        </w:rPr>
        <w:t>0</w:t>
      </w:r>
      <w:r>
        <w:rPr>
          <w:rFonts w:hint="eastAsia" w:ascii="仿宋_GB2312" w:eastAsia="仿宋_GB2312"/>
          <w:color w:val="000000"/>
          <w:sz w:val="32"/>
          <w:szCs w:val="32"/>
        </w:rPr>
        <w:t>万元，占</w:t>
      </w:r>
      <w:r>
        <w:rPr>
          <w:rFonts w:hint="eastAsia" w:ascii="仿宋_GB2312" w:eastAsia="仿宋_GB2312"/>
          <w:sz w:val="32"/>
          <w:szCs w:val="32"/>
        </w:rPr>
        <w:t>0%，与上年相比</w:t>
      </w:r>
      <w:r>
        <w:rPr>
          <w:rFonts w:hint="eastAsia" w:ascii="仿宋_GB2312" w:eastAsia="仿宋_GB2312"/>
          <w:sz w:val="32"/>
          <w:szCs w:val="32"/>
          <w:lang w:val="en-US" w:eastAsia="zh-CN"/>
        </w:rPr>
        <w:t>,</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w:t>
      </w:r>
      <w:r>
        <w:rPr>
          <w:rFonts w:ascii="仿宋_GB2312" w:eastAsia="仿宋_GB2312"/>
          <w:color w:val="000000"/>
          <w:sz w:val="32"/>
          <w:szCs w:val="32"/>
        </w:rPr>
        <w:t>本单位无因公出国（境）费支出</w:t>
      </w:r>
      <w:r>
        <w:rPr>
          <w:rFonts w:hint="eastAsia" w:ascii="仿宋_GB2312" w:eastAsia="仿宋_GB2312"/>
          <w:sz w:val="32"/>
          <w:szCs w:val="32"/>
        </w:rPr>
        <w:t>；</w:t>
      </w:r>
      <w:r>
        <w:rPr>
          <w:rFonts w:hint="eastAsia" w:ascii="仿宋_GB2312" w:eastAsia="仿宋_GB2312"/>
          <w:color w:val="000000"/>
          <w:sz w:val="32"/>
          <w:szCs w:val="32"/>
        </w:rPr>
        <w:t>公务用车购置及运行维护费支出</w:t>
      </w:r>
      <w:r>
        <w:rPr>
          <w:rFonts w:hint="eastAsia" w:ascii="仿宋_GB2312" w:eastAsia="仿宋_GB2312"/>
          <w:sz w:val="32"/>
          <w:szCs w:val="32"/>
        </w:rPr>
        <w:t>0</w:t>
      </w:r>
      <w:r>
        <w:rPr>
          <w:rFonts w:hint="eastAsia" w:ascii="仿宋_GB2312" w:eastAsia="仿宋_GB2312"/>
          <w:color w:val="000000"/>
          <w:sz w:val="32"/>
          <w:szCs w:val="32"/>
        </w:rPr>
        <w:t>万元，占</w:t>
      </w:r>
      <w:r>
        <w:rPr>
          <w:rFonts w:hint="eastAsia" w:ascii="仿宋_GB2312" w:eastAsia="仿宋_GB2312"/>
          <w:sz w:val="32"/>
          <w:szCs w:val="32"/>
        </w:rPr>
        <w:t>0%，与上年相比</w:t>
      </w:r>
      <w:r>
        <w:rPr>
          <w:rFonts w:hint="eastAsia" w:ascii="仿宋_GB2312" w:eastAsia="仿宋_GB2312"/>
          <w:sz w:val="32"/>
          <w:szCs w:val="32"/>
          <w:lang w:val="en-US" w:eastAsia="zh-CN"/>
        </w:rPr>
        <w:t>,</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的主要原因是：本单位无公务用车购置及维护</w:t>
      </w:r>
      <w:r>
        <w:rPr>
          <w:rFonts w:hint="eastAsia" w:ascii="仿宋_GB2312" w:eastAsia="仿宋_GB2312"/>
          <w:color w:val="000000"/>
          <w:sz w:val="32"/>
          <w:szCs w:val="32"/>
        </w:rPr>
        <w:t>费</w:t>
      </w:r>
      <w:r>
        <w:rPr>
          <w:rFonts w:hint="eastAsia" w:ascii="仿宋_GB2312" w:eastAsia="仿宋_GB2312"/>
          <w:sz w:val="32"/>
          <w:szCs w:val="32"/>
        </w:rPr>
        <w:t>支出；</w:t>
      </w:r>
      <w:r>
        <w:rPr>
          <w:rFonts w:hint="eastAsia" w:ascii="仿宋_GB2312" w:eastAsia="仿宋_GB2312"/>
          <w:color w:val="000000"/>
          <w:sz w:val="32"/>
          <w:szCs w:val="32"/>
        </w:rPr>
        <w:t>公务接待费支出</w:t>
      </w:r>
      <w:r>
        <w:rPr>
          <w:rFonts w:hint="eastAsia" w:ascii="仿宋_GB2312" w:eastAsia="仿宋_GB2312"/>
          <w:sz w:val="32"/>
          <w:szCs w:val="32"/>
        </w:rPr>
        <w:t>0</w:t>
      </w:r>
      <w:r>
        <w:rPr>
          <w:rFonts w:hint="eastAsia" w:ascii="仿宋_GB2312" w:eastAsia="仿宋_GB2312"/>
          <w:color w:val="000000"/>
          <w:sz w:val="32"/>
          <w:szCs w:val="32"/>
        </w:rPr>
        <w:t>万元，占</w:t>
      </w:r>
      <w:r>
        <w:rPr>
          <w:rFonts w:hint="eastAsia" w:ascii="仿宋_GB2312" w:eastAsia="仿宋_GB2312"/>
          <w:sz w:val="32"/>
          <w:szCs w:val="32"/>
        </w:rPr>
        <w:t>0%，与上年相比</w:t>
      </w:r>
      <w:r>
        <w:rPr>
          <w:rFonts w:hint="eastAsia" w:ascii="仿宋_GB2312" w:eastAsia="仿宋_GB2312"/>
          <w:sz w:val="32"/>
          <w:szCs w:val="32"/>
          <w:lang w:eastAsia="zh-CN"/>
        </w:rPr>
        <w:t>，</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的主要原因是：本单位无公务接待费支出。</w:t>
      </w:r>
      <w:r>
        <w:rPr>
          <w:rFonts w:hint="eastAsia" w:ascii="仿宋_GB2312" w:eastAsia="仿宋_GB2312"/>
          <w:color w:val="000000"/>
          <w:sz w:val="32"/>
          <w:szCs w:val="32"/>
        </w:rPr>
        <w:t>具体情况如下：</w:t>
      </w:r>
    </w:p>
    <w:p>
      <w:pPr>
        <w:spacing w:line="540" w:lineRule="exact"/>
        <w:jc w:val="both"/>
        <w:rPr>
          <w:rFonts w:ascii="仿宋_GB2312" w:eastAsia="仿宋_GB2312"/>
          <w:color w:val="000000" w:themeColor="text1"/>
          <w:sz w:val="32"/>
          <w:szCs w:val="32"/>
        </w:rPr>
      </w:pPr>
      <w:r>
        <w:rPr>
          <w:rFonts w:hint="eastAsia" w:ascii="仿宋_GB2312" w:eastAsia="仿宋_GB2312"/>
          <w:color w:val="000000" w:themeColor="text1"/>
          <w:sz w:val="32"/>
          <w:szCs w:val="32"/>
          <w:lang w:val="en-US" w:eastAsia="zh-CN"/>
        </w:rPr>
        <w:t xml:space="preserve">    </w:t>
      </w:r>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新疆喀什地区塔什库尔干县老干部局</w:t>
      </w:r>
      <w:r>
        <w:rPr>
          <w:rFonts w:hint="eastAsia" w:ascii="仿宋_GB2312" w:eastAsia="仿宋_GB2312"/>
          <w:color w:val="000000" w:themeColor="text1"/>
          <w:sz w:val="32"/>
          <w:szCs w:val="32"/>
        </w:rPr>
        <w:t>单位</w:t>
      </w:r>
      <w:bookmarkStart w:id="50" w:name="OLE_LINK33"/>
      <w:r>
        <w:rPr>
          <w:rFonts w:hint="eastAsia" w:ascii="仿宋_GB2312" w:eastAsia="仿宋_GB2312"/>
          <w:color w:val="000000" w:themeColor="text1"/>
          <w:sz w:val="32"/>
          <w:szCs w:val="32"/>
        </w:rPr>
        <w:t>全年</w:t>
      </w:r>
      <w:bookmarkStart w:id="51" w:name="OLE_LINK35"/>
      <w:bookmarkStart w:id="52" w:name="OLE_LINK34"/>
      <w:r>
        <w:rPr>
          <w:rFonts w:hint="eastAsia" w:ascii="仿宋_GB2312" w:eastAsia="仿宋_GB2312"/>
          <w:color w:val="000000" w:themeColor="text1"/>
          <w:sz w:val="32"/>
          <w:szCs w:val="32"/>
        </w:rPr>
        <w:t>使用一般公共预算财政拨款安排的出国（境）团组</w:t>
      </w:r>
      <w:bookmarkEnd w:id="50"/>
      <w:bookmarkEnd w:id="51"/>
      <w:bookmarkEnd w:id="52"/>
      <w:r>
        <w:rPr>
          <w:rFonts w:hint="eastAsia" w:ascii="仿宋_GB2312" w:eastAsia="仿宋_GB2312"/>
          <w:sz w:val="32"/>
          <w:szCs w:val="32"/>
        </w:rPr>
        <w:t>0</w:t>
      </w:r>
      <w:r>
        <w:rPr>
          <w:rFonts w:hint="eastAsia" w:ascii="仿宋_GB2312" w:eastAsia="仿宋_GB2312"/>
          <w:color w:val="000000" w:themeColor="text1"/>
          <w:sz w:val="32"/>
          <w:szCs w:val="32"/>
        </w:rPr>
        <w:t>个，</w:t>
      </w:r>
      <w:bookmarkStart w:id="53"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53"/>
      <w:r>
        <w:rPr>
          <w:rFonts w:hint="eastAsia" w:ascii="仿宋_GB2312" w:eastAsia="仿宋_GB2312"/>
          <w:color w:val="000000" w:themeColor="text1"/>
          <w:sz w:val="32"/>
          <w:szCs w:val="32"/>
        </w:rPr>
        <w:t>。</w:t>
      </w:r>
      <w:bookmarkStart w:id="54"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本单位无因公出国（境）费支出。</w:t>
      </w:r>
      <w:bookmarkEnd w:id="54"/>
    </w:p>
    <w:p>
      <w:pPr>
        <w:spacing w:line="540" w:lineRule="exact"/>
        <w:ind w:firstLine="640" w:firstLineChars="200"/>
        <w:rPr>
          <w:rFonts w:ascii="仿宋_GB2312" w:eastAsia="仿宋_GB2312"/>
          <w:color w:val="000000" w:themeColor="text1"/>
          <w:sz w:val="32"/>
          <w:szCs w:val="32"/>
        </w:rPr>
      </w:pPr>
      <w:bookmarkStart w:id="55"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56"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56"/>
      <w:r>
        <w:rPr>
          <w:rFonts w:hint="eastAsia" w:ascii="仿宋_GB2312" w:eastAsia="仿宋_GB2312"/>
          <w:color w:val="000000" w:themeColor="text1"/>
          <w:sz w:val="32"/>
          <w:szCs w:val="32"/>
        </w:rPr>
        <w:t>，</w:t>
      </w:r>
      <w:bookmarkStart w:id="57" w:name="OLE_LINK41"/>
      <w:bookmarkStart w:id="58" w:name="OLE_LINK40"/>
      <w:r>
        <w:rPr>
          <w:rFonts w:hint="eastAsia" w:ascii="仿宋_GB2312" w:eastAsia="仿宋_GB2312"/>
          <w:color w:val="000000" w:themeColor="text1"/>
          <w:sz w:val="32"/>
          <w:szCs w:val="32"/>
        </w:rPr>
        <w:t>公务用车运行维护费</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57"/>
      <w:bookmarkEnd w:id="58"/>
      <w:r>
        <w:rPr>
          <w:rFonts w:hint="eastAsia" w:ascii="仿宋_GB2312" w:eastAsia="仿宋_GB2312"/>
          <w:color w:val="000000" w:themeColor="text1"/>
          <w:sz w:val="32"/>
          <w:szCs w:val="32"/>
        </w:rPr>
        <w:t>。主要用于</w:t>
      </w:r>
      <w:r>
        <w:rPr>
          <w:rFonts w:hint="eastAsia" w:ascii="仿宋_GB2312" w:eastAsia="仿宋_GB2312"/>
          <w:sz w:val="32"/>
          <w:szCs w:val="32"/>
        </w:rPr>
        <w:t>本单位无公务用车购置费支出</w:t>
      </w:r>
      <w:r>
        <w:rPr>
          <w:rFonts w:hint="eastAsia" w:ascii="仿宋_GB2312" w:eastAsia="仿宋_GB2312"/>
          <w:color w:val="000000" w:themeColor="text1"/>
          <w:sz w:val="32"/>
          <w:szCs w:val="32"/>
        </w:rPr>
        <w:t>等。</w:t>
      </w:r>
      <w:bookmarkEnd w:id="55"/>
      <w:bookmarkStart w:id="59"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0</w:t>
      </w:r>
      <w:r>
        <w:rPr>
          <w:rFonts w:hint="eastAsia" w:ascii="仿宋_GB2312" w:eastAsia="仿宋_GB2312"/>
          <w:color w:val="000000" w:themeColor="text1"/>
          <w:sz w:val="32"/>
          <w:szCs w:val="32"/>
        </w:rPr>
        <w:t>辆。</w:t>
      </w:r>
      <w:bookmarkEnd w:id="59"/>
    </w:p>
    <w:p>
      <w:pPr>
        <w:spacing w:line="540" w:lineRule="exact"/>
        <w:ind w:firstLine="640" w:firstLineChars="200"/>
        <w:rPr>
          <w:rFonts w:ascii="仿宋_GB2312" w:eastAsia="仿宋_GB2312"/>
          <w:color w:val="000000" w:themeColor="text1"/>
          <w:sz w:val="32"/>
          <w:szCs w:val="32"/>
        </w:rPr>
      </w:pPr>
      <w:bookmarkStart w:id="60"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本单位无公务接待费支出</w:t>
      </w:r>
      <w:r>
        <w:rPr>
          <w:rFonts w:hint="eastAsia" w:ascii="仿宋_GB2312" w:eastAsia="仿宋_GB2312"/>
          <w:color w:val="000000" w:themeColor="text1"/>
          <w:sz w:val="32"/>
          <w:szCs w:val="32"/>
        </w:rPr>
        <w:t>等。</w:t>
      </w:r>
      <w:bookmarkEnd w:id="60"/>
      <w:bookmarkStart w:id="61" w:name="OLE_LINK84"/>
      <w:r>
        <w:rPr>
          <w:rFonts w:hint="eastAsia" w:ascii="仿宋_GB2312" w:eastAsia="仿宋_GB2312"/>
          <w:sz w:val="32"/>
          <w:szCs w:val="32"/>
        </w:rPr>
        <w:t>新疆喀什地区塔什库尔干县老干部局</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61"/>
    </w:p>
    <w:p>
      <w:pPr>
        <w:spacing w:line="540" w:lineRule="exact"/>
        <w:ind w:firstLine="640" w:firstLineChars="200"/>
        <w:rPr>
          <w:rFonts w:ascii="仿宋_GB2312" w:hAnsi="宋体" w:eastAsia="仿宋_GB2312" w:cs="宋体"/>
          <w:color w:val="000000" w:themeColor="text1"/>
          <w:kern w:val="0"/>
          <w:sz w:val="32"/>
          <w:szCs w:val="32"/>
        </w:rPr>
      </w:pPr>
      <w:bookmarkStart w:id="62"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，预决算差异率0%，差异主要原因是无差异。</w:t>
      </w:r>
      <w:bookmarkEnd w:id="62"/>
      <w:bookmarkStart w:id="63" w:name="OLE_LINK86"/>
      <w:bookmarkStart w:id="64" w:name="OLE_LINK87"/>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，预决算差异率0%，差异主要原因是无差异；</w:t>
      </w:r>
      <w:bookmarkEnd w:id="63"/>
      <w:bookmarkEnd w:id="64"/>
      <w:bookmarkStart w:id="65" w:name="OLE_LINK89"/>
      <w:bookmarkStart w:id="66" w:name="OLE_LINK88"/>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，预决算差异率0%，差异主要原因是无差异；</w:t>
      </w:r>
      <w:bookmarkEnd w:id="65"/>
      <w:bookmarkEnd w:id="66"/>
      <w:bookmarkStart w:id="67"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，预决算差异率0%，差异主要原因是无差异；</w:t>
      </w:r>
      <w:bookmarkEnd w:id="67"/>
      <w:bookmarkStart w:id="68"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68"/>
      <w:r>
        <w:rPr>
          <w:rFonts w:ascii="仿宋_GB2312" w:eastAsia="仿宋_GB2312"/>
          <w:color w:val="000000" w:themeColor="text1"/>
          <w:sz w:val="32"/>
          <w:szCs w:val="32"/>
        </w:rPr>
        <w:t>无差异。</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2018年度新疆喀什地区塔什库尔干县老干部局机关运行经费支出14.26万元，与上年相比，增加6.15万元，增长75.83%，增加的主要原因是：本年差旅费、培训费和水电费支出较上年增加。</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jc w:val="both"/>
        <w:rPr>
          <w:rFonts w:hint="eastAsia" w:ascii="黑体" w:hAnsi="黑体" w:eastAsia="黑体"/>
          <w:sz w:val="32"/>
          <w:szCs w:val="32"/>
        </w:rPr>
      </w:pPr>
      <w:r>
        <w:rPr>
          <w:rFonts w:hint="eastAsia" w:ascii="仿宋_GB2312" w:eastAsia="仿宋_GB2312"/>
          <w:color w:val="000000" w:themeColor="text1"/>
          <w:sz w:val="32"/>
          <w:szCs w:val="32"/>
          <w:lang w:val="en-US" w:eastAsia="zh-CN"/>
        </w:rPr>
        <w:t xml:space="preserve">    </w:t>
      </w:r>
      <w:r>
        <w:rPr>
          <w:rFonts w:hint="eastAsia" w:ascii="仿宋_GB2312" w:eastAsia="仿宋_GB2312"/>
          <w:color w:val="000000" w:themeColor="text1"/>
          <w:sz w:val="32"/>
          <w:szCs w:val="32"/>
        </w:rPr>
        <w:t>2018年度</w:t>
      </w:r>
      <w:bookmarkStart w:id="69" w:name="OLE_LINK45"/>
      <w:r>
        <w:rPr>
          <w:rFonts w:hint="eastAsia" w:ascii="仿宋_GB2312" w:eastAsia="仿宋_GB2312"/>
          <w:color w:val="000000" w:themeColor="text1"/>
          <w:sz w:val="32"/>
          <w:szCs w:val="32"/>
        </w:rPr>
        <w:t>政府采购支出总额</w:t>
      </w:r>
      <w:bookmarkEnd w:id="69"/>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70" w:name="OLE_LINK46"/>
      <w:r>
        <w:rPr>
          <w:rFonts w:hint="eastAsia" w:ascii="仿宋_GB2312" w:eastAsia="仿宋_GB2312"/>
          <w:color w:val="000000" w:themeColor="text1"/>
          <w:sz w:val="32"/>
          <w:szCs w:val="32"/>
        </w:rPr>
        <w:t>政府采购货物支出</w:t>
      </w:r>
      <w:bookmarkEnd w:id="70"/>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71" w:name="OLE_LINK47"/>
      <w:r>
        <w:rPr>
          <w:rFonts w:hint="eastAsia" w:ascii="仿宋_GB2312" w:eastAsia="仿宋_GB2312"/>
          <w:color w:val="000000" w:themeColor="text1"/>
          <w:sz w:val="32"/>
          <w:szCs w:val="32"/>
        </w:rPr>
        <w:t>政府采购工程支出</w:t>
      </w:r>
      <w:bookmarkEnd w:id="71"/>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72" w:name="OLE_LINK48"/>
      <w:r>
        <w:rPr>
          <w:rFonts w:hint="eastAsia" w:ascii="仿宋_GB2312" w:eastAsia="仿宋_GB2312"/>
          <w:color w:val="000000" w:themeColor="text1"/>
          <w:sz w:val="32"/>
          <w:szCs w:val="32"/>
        </w:rPr>
        <w:t>政府采购服务支出</w:t>
      </w:r>
      <w:bookmarkEnd w:id="72"/>
      <w:r>
        <w:rPr>
          <w:rFonts w:hint="eastAsia" w:ascii="仿宋_GB2312" w:eastAsia="仿宋_GB2312"/>
          <w:sz w:val="32"/>
          <w:szCs w:val="32"/>
        </w:rPr>
        <w:t>0</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73"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0</w:t>
      </w:r>
      <w:r>
        <w:rPr>
          <w:rFonts w:hint="eastAsia" w:ascii="仿宋_GB2312" w:eastAsia="仿宋_GB2312"/>
          <w:color w:val="000000" w:themeColor="text1"/>
          <w:sz w:val="32"/>
          <w:szCs w:val="32"/>
        </w:rPr>
        <w:t>辆，价值</w:t>
      </w:r>
      <w:r>
        <w:rPr>
          <w:rFonts w:hint="eastAsia" w:ascii="仿宋_GB2312" w:eastAsia="仿宋_GB2312"/>
          <w:sz w:val="32"/>
          <w:szCs w:val="32"/>
        </w:rPr>
        <w:t>0</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无；</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7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hint="eastAsia" w:ascii="黑体" w:hAnsi="黑体" w:eastAsia="黑体"/>
          <w:sz w:val="32"/>
          <w:szCs w:val="32"/>
        </w:rPr>
      </w:pPr>
      <w:r>
        <w:rPr>
          <w:rFonts w:hint="eastAsia" w:ascii="仿宋_GB2312" w:eastAsia="仿宋_GB2312"/>
          <w:sz w:val="32"/>
          <w:szCs w:val="32"/>
        </w:rPr>
        <w:t>2018年度，本部门单位预算绩效自评情况：201</w:t>
      </w:r>
      <w:r>
        <w:rPr>
          <w:rFonts w:hint="eastAsia" w:ascii="仿宋_GB2312" w:eastAsia="仿宋_GB2312"/>
          <w:sz w:val="32"/>
          <w:szCs w:val="32"/>
          <w:lang w:val="en-US" w:eastAsia="zh-CN"/>
        </w:rPr>
        <w:t>8</w:t>
      </w:r>
      <w:r>
        <w:rPr>
          <w:rFonts w:hint="eastAsia" w:ascii="仿宋_GB2312" w:eastAsia="仿宋_GB2312"/>
          <w:sz w:val="32"/>
          <w:szCs w:val="32"/>
        </w:rPr>
        <w:t>年度，本部门单位实行绩效管理的项目0个，涉及预算0万元，项目支出决算0万元。年末本部门单位民生项目和重点支出项目的绩效评价开展情况及结果：无</w:t>
      </w:r>
      <w:r>
        <w:rPr>
          <w:rFonts w:hint="eastAsia" w:ascii="仿宋_GB2312" w:eastAsia="仿宋_GB2312"/>
          <w:sz w:val="32"/>
          <w:szCs w:val="32"/>
          <w:lang w:eastAsia="zh-CN"/>
        </w:rPr>
        <w:t>预算绩效情况</w:t>
      </w:r>
      <w:r>
        <w:rPr>
          <w:rFonts w:hint="eastAsia" w:ascii="仿宋_GB2312" w:eastAsia="仿宋_GB2312"/>
          <w:sz w:val="32"/>
          <w:szCs w:val="32"/>
        </w:rPr>
        <w:t>。</w:t>
      </w:r>
    </w:p>
    <w:p>
      <w:pPr>
        <w:spacing w:line="540" w:lineRule="exact"/>
        <w:jc w:val="center"/>
        <w:rPr>
          <w:rFonts w:ascii="黑体" w:hAnsi="黑体" w:eastAsia="黑体"/>
          <w:sz w:val="32"/>
          <w:szCs w:val="32"/>
        </w:rPr>
      </w:pPr>
      <w:r>
        <w:rPr>
          <w:rFonts w:hint="eastAsia" w:ascii="黑体" w:hAnsi="黑体" w:eastAsia="黑体"/>
          <w:sz w:val="32"/>
          <w:szCs w:val="32"/>
        </w:rPr>
        <w:t>第三部分专业名词解释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229（类）60（款）10（项）指：用于文化事业的彩票公益金支出。221（类）02（款）01（项）指：住房公积金。201（类）33（款）01（项）指：行政运行。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9631" w:y="37"/>
      <w:jc w:val="right"/>
      <w:rPr>
        <w:rStyle w:val="8"/>
        <w:rFonts w:hint="eastAsia" w:ascii="宋体" w:hAnsi="宋体" w:eastAsia="宋体"/>
        <w:sz w:val="28"/>
        <w:lang w:eastAsia="zh-CN"/>
      </w:rPr>
    </w:pPr>
    <w:r>
      <w:rPr>
        <w:rStyle w:val="8"/>
        <w:rFonts w:ascii="宋体" w:hAnsi="宋体" w:eastAsia="宋体"/>
        <w:sz w:val="28"/>
      </w:rPr>
      <w:fldChar w:fldCharType="begin"/>
    </w:r>
    <w:r>
      <w:rPr>
        <w:rStyle w:val="8"/>
        <w:rFonts w:ascii="宋体" w:hAnsi="宋体" w:eastAsia="宋体"/>
        <w:sz w:val="28"/>
      </w:rPr>
      <w:instrText xml:space="preserve"> PAGE </w:instrText>
    </w:r>
    <w:r>
      <w:rPr>
        <w:rStyle w:val="8"/>
        <w:rFonts w:ascii="宋体" w:hAnsi="宋体" w:eastAsia="宋体"/>
        <w:sz w:val="28"/>
      </w:rPr>
      <w:fldChar w:fldCharType="separate"/>
    </w:r>
    <w:r>
      <w:rPr>
        <w:rStyle w:val="8"/>
        <w:rFonts w:ascii="宋体" w:hAnsi="宋体" w:eastAsia="宋体"/>
        <w:sz w:val="28"/>
      </w:rPr>
      <w:t>- 1 -</w:t>
    </w:r>
    <w:r>
      <w:rPr>
        <w:rStyle w:val="8"/>
        <w:rFonts w:ascii="宋体" w:hAnsi="宋体" w:eastAsia="宋体"/>
        <w:sz w:val="28"/>
      </w:rPr>
      <w:fldChar w:fldCharType="end"/>
    </w:r>
  </w:p>
  <w:p>
    <w:pPr>
      <w:pStyle w:val="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1756" w:y="37"/>
      <w:rPr>
        <w:rStyle w:val="8"/>
        <w:rFonts w:ascii="宋体" w:hAnsi="宋体" w:eastAsia="宋体"/>
        <w:sz w:val="28"/>
        <w:szCs w:val="28"/>
      </w:rPr>
    </w:pPr>
    <w:r>
      <w:rPr>
        <w:rStyle w:val="8"/>
        <w:rFonts w:ascii="宋体" w:hAnsi="宋体" w:eastAsia="宋体"/>
        <w:sz w:val="28"/>
        <w:szCs w:val="28"/>
      </w:rPr>
      <w:fldChar w:fldCharType="begin"/>
    </w:r>
    <w:r>
      <w:rPr>
        <w:rStyle w:val="8"/>
        <w:rFonts w:ascii="宋体" w:hAnsi="宋体" w:eastAsia="宋体"/>
        <w:sz w:val="28"/>
        <w:szCs w:val="28"/>
      </w:rPr>
      <w:instrText xml:space="preserve">PAGE  </w:instrText>
    </w:r>
    <w:r>
      <w:rPr>
        <w:rStyle w:val="8"/>
        <w:rFonts w:ascii="宋体" w:hAnsi="宋体" w:eastAsia="宋体"/>
        <w:sz w:val="28"/>
        <w:szCs w:val="28"/>
      </w:rPr>
      <w:fldChar w:fldCharType="separate"/>
    </w:r>
    <w:r>
      <w:rPr>
        <w:rStyle w:val="8"/>
        <w:rFonts w:ascii="宋体" w:hAnsi="宋体" w:eastAsia="宋体"/>
        <w:sz w:val="28"/>
        <w:szCs w:val="28"/>
      </w:rPr>
      <w:t>-12-</w:t>
    </w:r>
    <w:r>
      <w:rPr>
        <w:rStyle w:val="8"/>
        <w:rFonts w:ascii="宋体" w:hAnsi="宋体" w:eastAsia="宋体"/>
        <w:sz w:val="28"/>
        <w:szCs w:val="28"/>
      </w:rPr>
      <w:fldChar w:fldCharType="end"/>
    </w:r>
  </w:p>
  <w:p>
    <w:pPr>
      <w:pStyle w:val="5"/>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A7F816"/>
    <w:multiLevelType w:val="singleLevel"/>
    <w:tmpl w:val="5DA7F816"/>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12B8"/>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19F617E"/>
    <w:rsid w:val="028847F9"/>
    <w:rsid w:val="02BF381B"/>
    <w:rsid w:val="02F502BE"/>
    <w:rsid w:val="03AA79F6"/>
    <w:rsid w:val="03E80175"/>
    <w:rsid w:val="04741FE5"/>
    <w:rsid w:val="04791A73"/>
    <w:rsid w:val="04DB02C7"/>
    <w:rsid w:val="05214452"/>
    <w:rsid w:val="062B7DD5"/>
    <w:rsid w:val="06B856EE"/>
    <w:rsid w:val="07FE5938"/>
    <w:rsid w:val="084604BC"/>
    <w:rsid w:val="08883825"/>
    <w:rsid w:val="08EE6F47"/>
    <w:rsid w:val="092B5C6E"/>
    <w:rsid w:val="093A18EA"/>
    <w:rsid w:val="09725983"/>
    <w:rsid w:val="0A382BB5"/>
    <w:rsid w:val="0AA4543A"/>
    <w:rsid w:val="0ADD736A"/>
    <w:rsid w:val="0AE1207B"/>
    <w:rsid w:val="0B1E58C7"/>
    <w:rsid w:val="0BE61132"/>
    <w:rsid w:val="0C9B0DD6"/>
    <w:rsid w:val="0CE4791C"/>
    <w:rsid w:val="0E063C64"/>
    <w:rsid w:val="0F4C7B96"/>
    <w:rsid w:val="0FFB575E"/>
    <w:rsid w:val="10394158"/>
    <w:rsid w:val="10765719"/>
    <w:rsid w:val="10845F1B"/>
    <w:rsid w:val="11463A00"/>
    <w:rsid w:val="11600918"/>
    <w:rsid w:val="11B0398F"/>
    <w:rsid w:val="121110FB"/>
    <w:rsid w:val="12A351BC"/>
    <w:rsid w:val="13086D18"/>
    <w:rsid w:val="13B960C5"/>
    <w:rsid w:val="152777F4"/>
    <w:rsid w:val="15C674B6"/>
    <w:rsid w:val="17650900"/>
    <w:rsid w:val="18BA6E68"/>
    <w:rsid w:val="18D54A0D"/>
    <w:rsid w:val="1A4106A0"/>
    <w:rsid w:val="1A4F5437"/>
    <w:rsid w:val="1AB77CD0"/>
    <w:rsid w:val="1E807156"/>
    <w:rsid w:val="1EA657F6"/>
    <w:rsid w:val="1F097CB6"/>
    <w:rsid w:val="1F187C1F"/>
    <w:rsid w:val="1F792510"/>
    <w:rsid w:val="1F8565C9"/>
    <w:rsid w:val="1FD911AB"/>
    <w:rsid w:val="2166156B"/>
    <w:rsid w:val="21B02D83"/>
    <w:rsid w:val="22A236F5"/>
    <w:rsid w:val="23422C60"/>
    <w:rsid w:val="23995975"/>
    <w:rsid w:val="2432220E"/>
    <w:rsid w:val="248303BA"/>
    <w:rsid w:val="24837E47"/>
    <w:rsid w:val="24CA1EE9"/>
    <w:rsid w:val="252E01AA"/>
    <w:rsid w:val="261C35DF"/>
    <w:rsid w:val="2680023E"/>
    <w:rsid w:val="26B614A5"/>
    <w:rsid w:val="29680352"/>
    <w:rsid w:val="297B48D0"/>
    <w:rsid w:val="2A020F75"/>
    <w:rsid w:val="2A491D23"/>
    <w:rsid w:val="2A667E64"/>
    <w:rsid w:val="2A714E63"/>
    <w:rsid w:val="2B007AEE"/>
    <w:rsid w:val="2BC14C56"/>
    <w:rsid w:val="2C1B026F"/>
    <w:rsid w:val="2C6F7C4E"/>
    <w:rsid w:val="2CC61F55"/>
    <w:rsid w:val="2D4251B1"/>
    <w:rsid w:val="2EF7452F"/>
    <w:rsid w:val="2F1D13B4"/>
    <w:rsid w:val="2F554552"/>
    <w:rsid w:val="2FAA3DA6"/>
    <w:rsid w:val="30682E1F"/>
    <w:rsid w:val="30E210D2"/>
    <w:rsid w:val="311371D6"/>
    <w:rsid w:val="31EB64C9"/>
    <w:rsid w:val="31F516F1"/>
    <w:rsid w:val="32230A9C"/>
    <w:rsid w:val="32CD3153"/>
    <w:rsid w:val="336D0D6F"/>
    <w:rsid w:val="352E4BEC"/>
    <w:rsid w:val="37DD5594"/>
    <w:rsid w:val="38F24FA8"/>
    <w:rsid w:val="3A98342A"/>
    <w:rsid w:val="3AB6780E"/>
    <w:rsid w:val="3AD56D70"/>
    <w:rsid w:val="3B2920C2"/>
    <w:rsid w:val="3BE41ABD"/>
    <w:rsid w:val="3C5421A9"/>
    <w:rsid w:val="3CC905AE"/>
    <w:rsid w:val="3D903B21"/>
    <w:rsid w:val="3E1E0C80"/>
    <w:rsid w:val="3F440741"/>
    <w:rsid w:val="40F469D4"/>
    <w:rsid w:val="411729E3"/>
    <w:rsid w:val="41FC306C"/>
    <w:rsid w:val="44BE5554"/>
    <w:rsid w:val="451E0908"/>
    <w:rsid w:val="452C2D31"/>
    <w:rsid w:val="457E6947"/>
    <w:rsid w:val="45D26E14"/>
    <w:rsid w:val="46A541B1"/>
    <w:rsid w:val="47AD6017"/>
    <w:rsid w:val="47E76518"/>
    <w:rsid w:val="48C57772"/>
    <w:rsid w:val="49782886"/>
    <w:rsid w:val="4A6F0D28"/>
    <w:rsid w:val="4AAF085C"/>
    <w:rsid w:val="4AEB7E60"/>
    <w:rsid w:val="4B4B135B"/>
    <w:rsid w:val="4BC7055F"/>
    <w:rsid w:val="4CFC7DB2"/>
    <w:rsid w:val="4D4D61FA"/>
    <w:rsid w:val="4D6673C4"/>
    <w:rsid w:val="4E265F1F"/>
    <w:rsid w:val="4E7C187D"/>
    <w:rsid w:val="50165292"/>
    <w:rsid w:val="506116AA"/>
    <w:rsid w:val="508941AD"/>
    <w:rsid w:val="50E138E8"/>
    <w:rsid w:val="50E65530"/>
    <w:rsid w:val="51457139"/>
    <w:rsid w:val="51503708"/>
    <w:rsid w:val="51574DBD"/>
    <w:rsid w:val="51EC1DA8"/>
    <w:rsid w:val="52A41E2C"/>
    <w:rsid w:val="52FC5524"/>
    <w:rsid w:val="532D7A17"/>
    <w:rsid w:val="54AF4562"/>
    <w:rsid w:val="54AF4AD8"/>
    <w:rsid w:val="54C9674B"/>
    <w:rsid w:val="552E287F"/>
    <w:rsid w:val="556318EA"/>
    <w:rsid w:val="55A60AA1"/>
    <w:rsid w:val="56451615"/>
    <w:rsid w:val="5669261A"/>
    <w:rsid w:val="56984C38"/>
    <w:rsid w:val="56F02397"/>
    <w:rsid w:val="57FC5774"/>
    <w:rsid w:val="58555D43"/>
    <w:rsid w:val="59094086"/>
    <w:rsid w:val="59B332C9"/>
    <w:rsid w:val="59E750B2"/>
    <w:rsid w:val="5A44758A"/>
    <w:rsid w:val="5A9C3FB4"/>
    <w:rsid w:val="5AB7165B"/>
    <w:rsid w:val="5BEC4BB3"/>
    <w:rsid w:val="5C070B55"/>
    <w:rsid w:val="5CB96DCE"/>
    <w:rsid w:val="5CE61580"/>
    <w:rsid w:val="5D175666"/>
    <w:rsid w:val="5D556A3C"/>
    <w:rsid w:val="5D5F4256"/>
    <w:rsid w:val="5D7B25C9"/>
    <w:rsid w:val="5ECB44B4"/>
    <w:rsid w:val="5EE2043C"/>
    <w:rsid w:val="602D2E37"/>
    <w:rsid w:val="602F4EA6"/>
    <w:rsid w:val="6074119E"/>
    <w:rsid w:val="60DF42AD"/>
    <w:rsid w:val="61460FBE"/>
    <w:rsid w:val="61786769"/>
    <w:rsid w:val="61AA28F1"/>
    <w:rsid w:val="61CE24FA"/>
    <w:rsid w:val="61FD1904"/>
    <w:rsid w:val="62775810"/>
    <w:rsid w:val="629E6190"/>
    <w:rsid w:val="62D83744"/>
    <w:rsid w:val="630F4048"/>
    <w:rsid w:val="634446D8"/>
    <w:rsid w:val="63A0215A"/>
    <w:rsid w:val="63AA02E5"/>
    <w:rsid w:val="642C3A00"/>
    <w:rsid w:val="64427595"/>
    <w:rsid w:val="64700DE9"/>
    <w:rsid w:val="653F3A5A"/>
    <w:rsid w:val="65C613BD"/>
    <w:rsid w:val="65FD118C"/>
    <w:rsid w:val="67252F08"/>
    <w:rsid w:val="67F07702"/>
    <w:rsid w:val="682C3D89"/>
    <w:rsid w:val="68611305"/>
    <w:rsid w:val="689F69AF"/>
    <w:rsid w:val="6A162DE0"/>
    <w:rsid w:val="6A331428"/>
    <w:rsid w:val="6ACE4D8C"/>
    <w:rsid w:val="6B2E5CB6"/>
    <w:rsid w:val="6B384670"/>
    <w:rsid w:val="6B3D4886"/>
    <w:rsid w:val="6C452AEB"/>
    <w:rsid w:val="6D304685"/>
    <w:rsid w:val="6D422C60"/>
    <w:rsid w:val="6DC9723E"/>
    <w:rsid w:val="6DF8675E"/>
    <w:rsid w:val="6E38392C"/>
    <w:rsid w:val="6E3A4397"/>
    <w:rsid w:val="6EA80098"/>
    <w:rsid w:val="6F8D70FF"/>
    <w:rsid w:val="6FFE5011"/>
    <w:rsid w:val="706A772D"/>
    <w:rsid w:val="7178734D"/>
    <w:rsid w:val="71791096"/>
    <w:rsid w:val="717B0C34"/>
    <w:rsid w:val="71FB78FD"/>
    <w:rsid w:val="7275064A"/>
    <w:rsid w:val="72804885"/>
    <w:rsid w:val="730821E9"/>
    <w:rsid w:val="733F750B"/>
    <w:rsid w:val="735702E2"/>
    <w:rsid w:val="74BF0EE2"/>
    <w:rsid w:val="75E82E7C"/>
    <w:rsid w:val="765F635A"/>
    <w:rsid w:val="766826C2"/>
    <w:rsid w:val="76B73454"/>
    <w:rsid w:val="76D254BD"/>
    <w:rsid w:val="77727ACD"/>
    <w:rsid w:val="78071142"/>
    <w:rsid w:val="79296B37"/>
    <w:rsid w:val="7A4C4C40"/>
    <w:rsid w:val="7AA0518E"/>
    <w:rsid w:val="7B041636"/>
    <w:rsid w:val="7BA06A0A"/>
    <w:rsid w:val="7BEC610E"/>
    <w:rsid w:val="7CA86749"/>
    <w:rsid w:val="7CE9494B"/>
    <w:rsid w:val="7E0712A0"/>
    <w:rsid w:val="7E2F0DC6"/>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3"/>
    <w:unhideWhenUsed/>
    <w:qFormat/>
    <w:uiPriority w:val="99"/>
    <w:rPr>
      <w:b/>
      <w:bCs/>
    </w:rPr>
  </w:style>
  <w:style w:type="paragraph" w:styleId="3">
    <w:name w:val="annotation text"/>
    <w:basedOn w:val="1"/>
    <w:link w:val="12"/>
    <w:unhideWhenUsed/>
    <w:qFormat/>
    <w:uiPriority w:val="99"/>
    <w:pPr>
      <w:jc w:val="left"/>
    </w:pPr>
  </w:style>
  <w:style w:type="paragraph" w:styleId="4">
    <w:name w:val="Balloon Text"/>
    <w:basedOn w:val="1"/>
    <w:link w:val="14"/>
    <w:unhideWhenUsed/>
    <w:qFormat/>
    <w:uiPriority w:val="99"/>
    <w:rPr>
      <w:sz w:val="18"/>
      <w:szCs w:val="18"/>
    </w:rPr>
  </w:style>
  <w:style w:type="paragraph" w:styleId="5">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styleId="9">
    <w:name w:val="annotation reference"/>
    <w:basedOn w:val="7"/>
    <w:unhideWhenUsed/>
    <w:qFormat/>
    <w:uiPriority w:val="99"/>
    <w:rPr>
      <w:sz w:val="21"/>
      <w:szCs w:val="21"/>
    </w:rPr>
  </w:style>
  <w:style w:type="character" w:customStyle="1" w:styleId="11">
    <w:name w:val="页脚 字符"/>
    <w:basedOn w:val="7"/>
    <w:link w:val="5"/>
    <w:qFormat/>
    <w:uiPriority w:val="0"/>
    <w:rPr>
      <w:rFonts w:ascii="Times New Roman" w:hAnsi="Times New Roman" w:eastAsia="黑体" w:cs="Times New Roman"/>
      <w:snapToGrid w:val="0"/>
      <w:kern w:val="0"/>
      <w:sz w:val="18"/>
      <w:szCs w:val="18"/>
    </w:rPr>
  </w:style>
  <w:style w:type="character" w:customStyle="1" w:styleId="12">
    <w:name w:val="批注文字 字符"/>
    <w:basedOn w:val="7"/>
    <w:link w:val="3"/>
    <w:semiHidden/>
    <w:qFormat/>
    <w:uiPriority w:val="99"/>
    <w:rPr>
      <w:rFonts w:ascii="Times New Roman" w:hAnsi="Times New Roman" w:eastAsia="宋体" w:cs="Times New Roman"/>
      <w:szCs w:val="24"/>
    </w:rPr>
  </w:style>
  <w:style w:type="character" w:customStyle="1" w:styleId="13">
    <w:name w:val="批注主题 字符"/>
    <w:basedOn w:val="12"/>
    <w:link w:val="2"/>
    <w:semiHidden/>
    <w:qFormat/>
    <w:uiPriority w:val="99"/>
    <w:rPr>
      <w:rFonts w:ascii="Times New Roman" w:hAnsi="Times New Roman" w:eastAsia="宋体" w:cs="Times New Roman"/>
      <w:b/>
      <w:bCs/>
      <w:szCs w:val="24"/>
    </w:rPr>
  </w:style>
  <w:style w:type="character" w:customStyle="1" w:styleId="14">
    <w:name w:val="批注框文本 字符"/>
    <w:basedOn w:val="7"/>
    <w:link w:val="4"/>
    <w:semiHidden/>
    <w:qFormat/>
    <w:uiPriority w:val="99"/>
    <w:rPr>
      <w:rFonts w:ascii="Times New Roman" w:hAnsi="Times New Roman" w:eastAsia="宋体" w:cs="Times New Roman"/>
      <w:sz w:val="18"/>
      <w:szCs w:val="18"/>
    </w:rPr>
  </w:style>
  <w:style w:type="character" w:customStyle="1" w:styleId="15">
    <w:name w:val="页眉 字符"/>
    <w:basedOn w:val="7"/>
    <w:link w:val="6"/>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1150</Words>
  <Characters>6560</Characters>
  <Lines>54</Lines>
  <Paragraphs>15</Paragraphs>
  <TotalTime>2</TotalTime>
  <ScaleCrop>false</ScaleCrop>
  <LinksUpToDate>false</LinksUpToDate>
  <CharactersWithSpaces>7695</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Lenovo</cp:lastModifiedBy>
  <dcterms:modified xsi:type="dcterms:W3CDTF">2020-04-05T02:53:05Z</dcterms:modified>
  <cp:revision>810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